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AC4" w:rsidRDefault="0003665A">
      <w:pPr>
        <w:pStyle w:val="normal0"/>
        <w:ind w:left="3690"/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>Subject: Grade 2 English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5353050</wp:posOffset>
            </wp:positionH>
            <wp:positionV relativeFrom="paragraph">
              <wp:posOffset>-752474</wp:posOffset>
            </wp:positionV>
            <wp:extent cx="1276350" cy="857250"/>
            <wp:effectExtent l="0" t="0" r="0" b="0"/>
            <wp:wrapSquare wrapText="bothSides" distT="0" distB="0" distL="114300" distR="114300"/>
            <wp:docPr id="1" name="image02.png" descr="... Hand In Hand, Cute - Fre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... Hand In Hand, Cute - Free ...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posOffset>-352424</wp:posOffset>
            </wp:positionH>
            <wp:positionV relativeFrom="paragraph">
              <wp:posOffset>-752474</wp:posOffset>
            </wp:positionV>
            <wp:extent cx="1323975" cy="1257300"/>
            <wp:effectExtent l="0" t="0" r="0" b="0"/>
            <wp:wrapSquare wrapText="bothSides" distT="0" distB="0" distL="0" distR="0"/>
            <wp:docPr id="2" name="image03.png" descr="Owl, Bird, Book, Wise, Nature,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Owl, Bird, Book, Wise, Nature, ...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6AC4" w:rsidRDefault="0003665A">
      <w:pPr>
        <w:pStyle w:val="normal0"/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>Teacher: Mrs. Kathryn</w:t>
      </w:r>
    </w:p>
    <w:p w:rsidR="00006AC4" w:rsidRDefault="0003665A">
      <w:pPr>
        <w:pStyle w:val="normal0"/>
        <w:jc w:val="center"/>
      </w:pPr>
      <w:r>
        <w:rPr>
          <w:rFonts w:ascii="Trebuchet MS" w:eastAsia="Trebuchet MS" w:hAnsi="Trebuchet MS" w:cs="Trebuchet MS"/>
          <w:b/>
          <w:sz w:val="28"/>
          <w:szCs w:val="28"/>
        </w:rPr>
        <w:t>Support Teachers: Mrs. Peggy, Mrs. Andrea</w:t>
      </w:r>
    </w:p>
    <w:p w:rsidR="00006AC4" w:rsidRDefault="00006AC4">
      <w:pPr>
        <w:pStyle w:val="normal0"/>
        <w:jc w:val="center"/>
      </w:pPr>
    </w:p>
    <w:p w:rsidR="00006AC4" w:rsidRDefault="0003665A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 xml:space="preserve">Welcome to Grade 2 English! I’m so privileged to be able to spend this year with your child and watch him/her grow in character and in ability to interact in English. </w:t>
      </w:r>
    </w:p>
    <w:p w:rsidR="00006AC4" w:rsidRDefault="00006AC4">
      <w:pPr>
        <w:pStyle w:val="normal0"/>
      </w:pPr>
    </w:p>
    <w:p w:rsidR="00006AC4" w:rsidRDefault="0003665A">
      <w:pPr>
        <w:pStyle w:val="normal0"/>
      </w:pPr>
      <w:r>
        <w:rPr>
          <w:rFonts w:ascii="Trebuchet MS" w:eastAsia="Trebuchet MS" w:hAnsi="Trebuchet MS" w:cs="Trebuchet MS"/>
          <w:b/>
        </w:rPr>
        <w:t>Course Description: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In the English Department, we are excited to help your child develo</w:t>
      </w:r>
      <w:r>
        <w:rPr>
          <w:rFonts w:ascii="Comic Sans MS" w:eastAsia="Comic Sans MS" w:hAnsi="Comic Sans MS" w:cs="Comic Sans MS"/>
          <w:sz w:val="20"/>
          <w:szCs w:val="20"/>
        </w:rPr>
        <w:t>p in English listening, speaking, reading and writing. It is so important in these early years to build a strong foundation for your child to carry on through her/his education with the skills he/she needs to be successful in life. We trust that parents, f</w:t>
      </w:r>
      <w:r>
        <w:rPr>
          <w:rFonts w:ascii="Comic Sans MS" w:eastAsia="Comic Sans MS" w:hAnsi="Comic Sans MS" w:cs="Comic Sans MS"/>
          <w:sz w:val="20"/>
          <w:szCs w:val="20"/>
        </w:rPr>
        <w:t xml:space="preserve">amily members, staff and fellow students will work together to build up your child’s English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skills.The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Grade 2 Curriculum includes centers, Shared reading,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readalouds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leveled reading, library time, journal writing, homework, projects, field trips, and th</w:t>
      </w:r>
      <w:r>
        <w:rPr>
          <w:rFonts w:ascii="Comic Sans MS" w:eastAsia="Comic Sans MS" w:hAnsi="Comic Sans MS" w:cs="Comic Sans MS"/>
          <w:sz w:val="20"/>
          <w:szCs w:val="20"/>
        </w:rPr>
        <w:t>eme-related activities.</w:t>
      </w:r>
    </w:p>
    <w:p w:rsidR="00006AC4" w:rsidRDefault="00006AC4">
      <w:pPr>
        <w:pStyle w:val="normal0"/>
      </w:pPr>
    </w:p>
    <w:p w:rsidR="00006AC4" w:rsidRDefault="0003665A">
      <w:pPr>
        <w:pStyle w:val="normal0"/>
      </w:pPr>
      <w:r>
        <w:rPr>
          <w:rFonts w:ascii="Trebuchet MS" w:eastAsia="Trebuchet MS" w:hAnsi="Trebuchet MS" w:cs="Trebuchet MS"/>
          <w:b/>
        </w:rPr>
        <w:t>Resources:</w:t>
      </w:r>
    </w:p>
    <w:p w:rsidR="00006AC4" w:rsidRDefault="0003665A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 xml:space="preserve">We have excellent resources in the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Storytown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series</w:t>
      </w:r>
      <w:r>
        <w:rPr>
          <w:rFonts w:ascii="Comic Sans MS" w:eastAsia="Comic Sans MS" w:hAnsi="Comic Sans MS" w:cs="Comic Sans MS"/>
          <w:sz w:val="20"/>
          <w:szCs w:val="20"/>
        </w:rPr>
        <w:t>, which will help us meet many of our goals. This series is familiar to you, and I will do my best to help you as a parent keep current with the stories we enjoy togethe</w:t>
      </w:r>
      <w:r>
        <w:rPr>
          <w:rFonts w:ascii="Comic Sans MS" w:eastAsia="Comic Sans MS" w:hAnsi="Comic Sans MS" w:cs="Comic Sans MS"/>
          <w:sz w:val="20"/>
          <w:szCs w:val="20"/>
        </w:rPr>
        <w:t>r in class.</w:t>
      </w:r>
    </w:p>
    <w:p w:rsidR="00006AC4" w:rsidRDefault="0003665A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 xml:space="preserve">Your child also has the </w:t>
      </w:r>
      <w:r>
        <w:rPr>
          <w:rFonts w:ascii="Comic Sans MS" w:eastAsia="Comic Sans MS" w:hAnsi="Comic Sans MS" w:cs="Comic Sans MS"/>
          <w:b/>
          <w:sz w:val="20"/>
          <w:szCs w:val="20"/>
        </w:rPr>
        <w:t>Phonics Practice Book</w:t>
      </w:r>
      <w:r>
        <w:rPr>
          <w:rFonts w:ascii="Comic Sans MS" w:eastAsia="Comic Sans MS" w:hAnsi="Comic Sans MS" w:cs="Comic Sans MS"/>
          <w:sz w:val="20"/>
          <w:szCs w:val="20"/>
        </w:rPr>
        <w:t xml:space="preserve"> and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Storytown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Practice Book</w:t>
      </w:r>
      <w:r>
        <w:rPr>
          <w:rFonts w:ascii="Comic Sans MS" w:eastAsia="Comic Sans MS" w:hAnsi="Comic Sans MS" w:cs="Comic Sans MS"/>
          <w:sz w:val="20"/>
          <w:szCs w:val="20"/>
        </w:rPr>
        <w:t xml:space="preserve">, and we will be sure to use what we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need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from these to support her/his learning.</w:t>
      </w:r>
    </w:p>
    <w:p w:rsidR="00006AC4" w:rsidRDefault="0003665A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 xml:space="preserve">Finally, we will make use of Teacher-Created Materials, including the </w:t>
      </w:r>
      <w:r>
        <w:rPr>
          <w:rFonts w:ascii="Comic Sans MS" w:eastAsia="Comic Sans MS" w:hAnsi="Comic Sans MS" w:cs="Comic Sans MS"/>
          <w:b/>
          <w:sz w:val="20"/>
          <w:szCs w:val="20"/>
        </w:rPr>
        <w:t>Spelling Book, Read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ing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Journal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,</w:t>
      </w:r>
      <w:r>
        <w:rPr>
          <w:rFonts w:ascii="Comic Sans MS" w:eastAsia="Comic Sans MS" w:hAnsi="Comic Sans MS" w:cs="Comic Sans MS"/>
          <w:sz w:val="20"/>
          <w:szCs w:val="20"/>
        </w:rPr>
        <w:t>and</w:t>
      </w:r>
      <w:proofErr w:type="spellEnd"/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Writing Journal</w:t>
      </w:r>
      <w:r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:rsidR="00006AC4" w:rsidRDefault="00006AC4">
      <w:pPr>
        <w:pStyle w:val="normal0"/>
      </w:pPr>
    </w:p>
    <w:p w:rsidR="00006AC4" w:rsidRDefault="0003665A">
      <w:pPr>
        <w:pStyle w:val="normal0"/>
      </w:pPr>
      <w:r>
        <w:rPr>
          <w:rFonts w:ascii="Trebuchet MS" w:eastAsia="Trebuchet MS" w:hAnsi="Trebuchet MS" w:cs="Trebuchet MS"/>
          <w:b/>
        </w:rPr>
        <w:t>Assessment:</w:t>
      </w:r>
    </w:p>
    <w:p w:rsidR="00006AC4" w:rsidRDefault="0003665A">
      <w:pPr>
        <w:pStyle w:val="normal0"/>
      </w:pPr>
      <w:r>
        <w:rPr>
          <w:rFonts w:ascii="Comic Sans MS" w:eastAsia="Comic Sans MS" w:hAnsi="Comic Sans MS" w:cs="Comic Sans MS"/>
          <w:sz w:val="20"/>
          <w:szCs w:val="20"/>
        </w:rPr>
        <w:t xml:space="preserve">It is my job to determine the strengths </w:t>
      </w:r>
      <w:r>
        <w:rPr>
          <w:rFonts w:ascii="Comic Sans MS" w:eastAsia="Comic Sans MS" w:hAnsi="Comic Sans MS" w:cs="Comic Sans MS"/>
          <w:sz w:val="20"/>
          <w:szCs w:val="20"/>
        </w:rPr>
        <w:t xml:space="preserve">in your child, </w:t>
      </w:r>
      <w:r>
        <w:rPr>
          <w:rFonts w:ascii="Comic Sans MS" w:eastAsia="Comic Sans MS" w:hAnsi="Comic Sans MS" w:cs="Comic Sans MS"/>
          <w:sz w:val="20"/>
          <w:szCs w:val="20"/>
        </w:rPr>
        <w:t xml:space="preserve">and identify areas </w:t>
      </w:r>
      <w:r>
        <w:rPr>
          <w:rFonts w:ascii="Comic Sans MS" w:eastAsia="Comic Sans MS" w:hAnsi="Comic Sans MS" w:cs="Comic Sans MS"/>
          <w:sz w:val="20"/>
          <w:szCs w:val="20"/>
        </w:rPr>
        <w:t>needing</w:t>
      </w:r>
      <w:r>
        <w:rPr>
          <w:rFonts w:ascii="Comic Sans MS" w:eastAsia="Comic Sans MS" w:hAnsi="Comic Sans MS" w:cs="Comic Sans MS"/>
          <w:sz w:val="20"/>
          <w:szCs w:val="20"/>
        </w:rPr>
        <w:t xml:space="preserve"> growth</w:t>
      </w:r>
      <w:r>
        <w:rPr>
          <w:rFonts w:ascii="Comic Sans MS" w:eastAsia="Comic Sans MS" w:hAnsi="Comic Sans MS" w:cs="Comic Sans MS"/>
          <w:sz w:val="20"/>
          <w:szCs w:val="20"/>
        </w:rPr>
        <w:t>. Each child is unique, but educational research shows us some key patterns into which children develop. We will be</w:t>
      </w:r>
      <w:r>
        <w:rPr>
          <w:rFonts w:ascii="Comic Sans MS" w:eastAsia="Comic Sans MS" w:hAnsi="Comic Sans MS" w:cs="Comic Sans MS"/>
          <w:sz w:val="20"/>
          <w:szCs w:val="20"/>
        </w:rPr>
        <w:t xml:space="preserve"> using research-based benchmarks to make sure your child is on the right path to a successful future in English. We will use a variety of assessment tools in order to determine what skills your child needs to develop. We also need to enter grades for repor</w:t>
      </w:r>
      <w:r>
        <w:rPr>
          <w:rFonts w:ascii="Comic Sans MS" w:eastAsia="Comic Sans MS" w:hAnsi="Comic Sans MS" w:cs="Comic Sans MS"/>
          <w:sz w:val="20"/>
          <w:szCs w:val="20"/>
        </w:rPr>
        <w:t>t cards, and below is a scheme of the percentages for each area of assessment:</w:t>
      </w:r>
    </w:p>
    <w:p w:rsidR="00006AC4" w:rsidRDefault="00006AC4">
      <w:pPr>
        <w:pStyle w:val="normal0"/>
      </w:pPr>
    </w:p>
    <w:p w:rsidR="00006AC4" w:rsidRDefault="0003665A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Reading 30%</w:t>
      </w:r>
    </w:p>
    <w:p w:rsidR="00006AC4" w:rsidRDefault="0003665A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Writing, including grammar, spelling, and content: </w:t>
      </w:r>
      <w:r>
        <w:rPr>
          <w:rFonts w:ascii="Trebuchet MS" w:eastAsia="Trebuchet MS" w:hAnsi="Trebuchet MS" w:cs="Trebuchet MS"/>
          <w:b/>
          <w:sz w:val="20"/>
          <w:szCs w:val="20"/>
        </w:rPr>
        <w:t>25</w:t>
      </w:r>
      <w:r>
        <w:rPr>
          <w:rFonts w:ascii="Trebuchet MS" w:eastAsia="Trebuchet MS" w:hAnsi="Trebuchet MS" w:cs="Trebuchet MS"/>
          <w:b/>
          <w:sz w:val="20"/>
          <w:szCs w:val="20"/>
        </w:rPr>
        <w:t>%</w:t>
      </w:r>
    </w:p>
    <w:p w:rsidR="00006AC4" w:rsidRDefault="0003665A">
      <w:pPr>
        <w:pStyle w:val="normal0"/>
        <w:numPr>
          <w:ilvl w:val="0"/>
          <w:numId w:val="1"/>
        </w:numPr>
        <w:ind w:hanging="360"/>
        <w:contextualSpacing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Listening &amp; Speaking: 15%</w:t>
      </w:r>
    </w:p>
    <w:p w:rsidR="00006AC4" w:rsidRDefault="0003665A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Workbooks in class and home: 20%</w:t>
      </w:r>
    </w:p>
    <w:p w:rsidR="00006AC4" w:rsidRDefault="0003665A">
      <w:pPr>
        <w:pStyle w:val="normal0"/>
        <w:numPr>
          <w:ilvl w:val="0"/>
          <w:numId w:val="1"/>
        </w:numPr>
        <w:ind w:hanging="360"/>
        <w:contextualSpacing/>
        <w:rPr>
          <w:b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Participation, independent work, and social skills: 10%</w:t>
      </w:r>
    </w:p>
    <w:p w:rsidR="00006AC4" w:rsidRDefault="00006AC4">
      <w:pPr>
        <w:pStyle w:val="normal0"/>
      </w:pPr>
    </w:p>
    <w:p w:rsidR="00006AC4" w:rsidRDefault="0003665A">
      <w:pPr>
        <w:pStyle w:val="normal0"/>
        <w:spacing w:line="331" w:lineRule="auto"/>
      </w:pPr>
      <w:proofErr w:type="spellStart"/>
      <w:r>
        <w:rPr>
          <w:rFonts w:ascii="Trebuchet MS" w:eastAsia="Trebuchet MS" w:hAnsi="Trebuchet MS" w:cs="Trebuchet MS"/>
          <w:b/>
        </w:rPr>
        <w:t>Storytown</w:t>
      </w:r>
      <w:proofErr w:type="spellEnd"/>
      <w:r>
        <w:rPr>
          <w:rFonts w:ascii="Trebuchet MS" w:eastAsia="Trebuchet MS" w:hAnsi="Trebuchet MS" w:cs="Trebuchet MS"/>
          <w:b/>
        </w:rPr>
        <w:t xml:space="preserve"> Themes: </w:t>
      </w:r>
      <w:r>
        <w:rPr>
          <w:rFonts w:ascii="Comic Sans MS" w:eastAsia="Comic Sans MS" w:hAnsi="Comic Sans MS" w:cs="Comic Sans MS"/>
          <w:sz w:val="20"/>
          <w:szCs w:val="20"/>
        </w:rPr>
        <w:t>Count on Me, Doing our Best, Changing Times, Dream Big, Better Together, Blast Off!</w:t>
      </w:r>
    </w:p>
    <w:p w:rsidR="00006AC4" w:rsidRDefault="00006AC4">
      <w:pPr>
        <w:pStyle w:val="normal0"/>
      </w:pPr>
    </w:p>
    <w:p w:rsidR="00006AC4" w:rsidRDefault="0003665A">
      <w:pPr>
        <w:pStyle w:val="normal0"/>
      </w:pPr>
      <w:r>
        <w:rPr>
          <w:rFonts w:ascii="Trebuchet MS" w:eastAsia="Trebuchet MS" w:hAnsi="Trebuchet MS" w:cs="Trebuchet MS"/>
          <w:b/>
        </w:rPr>
        <w:t>Major projects: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Global Connections, Pen Pal (letter writing), Class book-writing, and Autobiography</w:t>
      </w:r>
    </w:p>
    <w:p w:rsidR="00006AC4" w:rsidRDefault="00006AC4">
      <w:pPr>
        <w:pStyle w:val="normal0"/>
      </w:pPr>
    </w:p>
    <w:p w:rsidR="00006AC4" w:rsidRDefault="00006AC4">
      <w:pPr>
        <w:pStyle w:val="normal0"/>
        <w:spacing w:line="331" w:lineRule="auto"/>
      </w:pPr>
    </w:p>
    <w:p w:rsidR="00006AC4" w:rsidRDefault="0003665A">
      <w:pPr>
        <w:pStyle w:val="normal0"/>
        <w:spacing w:line="331" w:lineRule="auto"/>
      </w:pPr>
      <w:proofErr w:type="spellStart"/>
      <w:r>
        <w:rPr>
          <w:rFonts w:ascii="Trebuchet MS" w:eastAsia="Trebuchet MS" w:hAnsi="Trebuchet MS" w:cs="Trebuchet MS"/>
          <w:b/>
        </w:rPr>
        <w:lastRenderedPageBreak/>
        <w:t>S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</w:rPr>
        <w:t>o</w:t>
      </w:r>
      <w:r>
        <w:rPr>
          <w:rFonts w:ascii="Trebuchet MS" w:eastAsia="Trebuchet MS" w:hAnsi="Trebuchet MS" w:cs="Trebuchet MS"/>
          <w:b/>
        </w:rPr>
        <w:t>r</w:t>
      </w:r>
      <w:r>
        <w:rPr>
          <w:rFonts w:ascii="Trebuchet MS" w:eastAsia="Trebuchet MS" w:hAnsi="Trebuchet MS" w:cs="Trebuchet MS"/>
          <w:b/>
        </w:rPr>
        <w:t>y</w:t>
      </w:r>
      <w:r>
        <w:rPr>
          <w:rFonts w:ascii="Trebuchet MS" w:eastAsia="Trebuchet MS" w:hAnsi="Trebuchet MS" w:cs="Trebuchet MS"/>
          <w:b/>
        </w:rPr>
        <w:t>t</w:t>
      </w:r>
      <w:r>
        <w:rPr>
          <w:rFonts w:ascii="Trebuchet MS" w:eastAsia="Trebuchet MS" w:hAnsi="Trebuchet MS" w:cs="Trebuchet MS"/>
          <w:b/>
        </w:rPr>
        <w:t>own</w:t>
      </w:r>
      <w:proofErr w:type="spellEnd"/>
      <w:r>
        <w:rPr>
          <w:rFonts w:ascii="Trebuchet MS" w:eastAsia="Trebuchet MS" w:hAnsi="Trebuchet MS" w:cs="Trebuchet MS"/>
          <w:b/>
        </w:rPr>
        <w:t xml:space="preserve"> Stories:</w:t>
      </w:r>
    </w:p>
    <w:tbl>
      <w:tblPr>
        <w:tblStyle w:val="a"/>
        <w:tblW w:w="9375" w:type="dxa"/>
        <w:tblInd w:w="-100" w:type="dxa"/>
        <w:tblLayout w:type="fixed"/>
        <w:tblLook w:val="0600"/>
      </w:tblPr>
      <w:tblGrid>
        <w:gridCol w:w="4960"/>
        <w:gridCol w:w="4415"/>
      </w:tblGrid>
      <w:tr w:rsidR="00006AC4">
        <w:tc>
          <w:tcPr>
            <w:tcW w:w="4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Arthur's Reading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Frog and Toad All Year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Henry and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Mudge</w:t>
            </w:r>
            <w:proofErr w:type="spellEnd"/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Dogs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Winners Never Quit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Gus and Grandpa and the Two Wheeled Bike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Great Ball Game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spacing w:line="331" w:lineRule="auto"/>
              <w:ind w:left="450" w:hanging="36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Click Cla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ck,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Moo:Cows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that Type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Jamaica Louise James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Rain Forest Babies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Mr. Putter and Tabby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Ah, Music!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What's My Job?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 Chair for My Mother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Serious Farm</w:t>
            </w:r>
          </w:p>
          <w:p w:rsidR="00006AC4" w:rsidRDefault="0003665A">
            <w:pPr>
              <w:pStyle w:val="normal0"/>
              <w:numPr>
                <w:ilvl w:val="0"/>
                <w:numId w:val="2"/>
              </w:numPr>
              <w:tabs>
                <w:tab w:val="left" w:pos="390"/>
              </w:tabs>
              <w:spacing w:line="331" w:lineRule="auto"/>
              <w:ind w:left="30" w:firstLine="0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Bee</w:t>
            </w:r>
          </w:p>
        </w:tc>
      </w:tr>
    </w:tbl>
    <w:p w:rsidR="00006AC4" w:rsidRDefault="00006AC4">
      <w:pPr>
        <w:pStyle w:val="normal0"/>
      </w:pPr>
    </w:p>
    <w:p w:rsidR="00006AC4" w:rsidRDefault="00006AC4">
      <w:pPr>
        <w:pStyle w:val="normal0"/>
      </w:pPr>
    </w:p>
    <w:p w:rsidR="00006AC4" w:rsidRDefault="0003665A">
      <w:pPr>
        <w:pStyle w:val="normal0"/>
        <w:spacing w:line="28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Grading scale</w:t>
      </w:r>
    </w:p>
    <w:tbl>
      <w:tblPr>
        <w:tblStyle w:val="a0"/>
        <w:tblW w:w="8955" w:type="dxa"/>
        <w:tblInd w:w="-120" w:type="dxa"/>
        <w:tblLayout w:type="fixed"/>
        <w:tblLook w:val="0600"/>
      </w:tblPr>
      <w:tblGrid>
        <w:gridCol w:w="3090"/>
        <w:gridCol w:w="5865"/>
      </w:tblGrid>
      <w:tr w:rsidR="00006AC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Advanced Performance + (AP+)</w:t>
            </w:r>
          </w:p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96-100%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 w:hanging="90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student performance meets and exceeds the expected performance standard; the performance is exceptional.</w:t>
            </w:r>
          </w:p>
        </w:tc>
      </w:tr>
      <w:tr w:rsidR="00006AC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Advanced Performance (AP)</w:t>
            </w:r>
          </w:p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90-95%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 w:hanging="90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student performance is competent and meets the standard while demonstrating and above level of competence in most skills.</w:t>
            </w:r>
          </w:p>
        </w:tc>
      </w:tr>
      <w:tr w:rsidR="00006AC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Proficient Performance (PP)</w:t>
            </w:r>
          </w:p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80-89%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 w:hanging="90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The student performance is competent and meets the standard; the performance should be viewed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successful achievement of the standard.</w:t>
            </w:r>
          </w:p>
        </w:tc>
      </w:tr>
      <w:tr w:rsidR="00006AC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Basic Performance (BP)</w:t>
            </w:r>
          </w:p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70-79%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 w:hanging="90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 student performance demonstrates emerging competence in meeting the standard.  Needs further development before reaching the proficient level.</w:t>
            </w:r>
          </w:p>
        </w:tc>
      </w:tr>
      <w:tr w:rsidR="00006AC4"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Novice Performance (NP)</w:t>
            </w:r>
          </w:p>
          <w:p w:rsidR="00006AC4" w:rsidRDefault="0003665A">
            <w:pPr>
              <w:pStyle w:val="normal0"/>
              <w:spacing w:line="288" w:lineRule="auto"/>
              <w:ind w:left="150"/>
              <w:contextualSpacing w:val="0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60-69%</w:t>
            </w:r>
          </w:p>
        </w:tc>
        <w:tc>
          <w:tcPr>
            <w:tcW w:w="5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006AC4" w:rsidRDefault="0003665A">
            <w:pPr>
              <w:pStyle w:val="normal0"/>
              <w:spacing w:line="288" w:lineRule="auto"/>
              <w:ind w:left="150" w:hanging="90"/>
              <w:contextualSpacing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student performance does not meet the standard.  The performance level needs considerable development. The student struggles to grasp and apply most if not all the concepts/skills being taught at this grade level.</w:t>
            </w:r>
          </w:p>
        </w:tc>
      </w:tr>
    </w:tbl>
    <w:p w:rsidR="00006AC4" w:rsidRDefault="00006AC4">
      <w:pPr>
        <w:pStyle w:val="normal0"/>
      </w:pPr>
    </w:p>
    <w:sectPr w:rsidR="00006AC4" w:rsidSect="00006AC4">
      <w:pgSz w:w="12240" w:h="15840"/>
      <w:pgMar w:top="1440" w:right="810" w:bottom="1440" w:left="9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0AA4"/>
    <w:multiLevelType w:val="multilevel"/>
    <w:tmpl w:val="AB845DD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1">
    <w:nsid w:val="769034E4"/>
    <w:multiLevelType w:val="multilevel"/>
    <w:tmpl w:val="7870D976"/>
    <w:lvl w:ilvl="0">
      <w:start w:val="1"/>
      <w:numFmt w:val="decimal"/>
      <w:lvlText w:val="%1."/>
      <w:lvlJc w:val="left"/>
      <w:pPr>
        <w:ind w:left="720" w:firstLine="1080"/>
      </w:pPr>
      <w:rPr>
        <w:rFonts w:ascii="Trebuchet MS" w:eastAsia="Trebuchet MS" w:hAnsi="Trebuchet MS" w:cs="Trebuchet MS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06AC4"/>
    <w:rsid w:val="00006AC4"/>
    <w:rsid w:val="0003665A"/>
    <w:rsid w:val="0065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06A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06A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06A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06A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06A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06A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6AC4"/>
  </w:style>
  <w:style w:type="paragraph" w:styleId="Title">
    <w:name w:val="Title"/>
    <w:basedOn w:val="normal0"/>
    <w:next w:val="normal0"/>
    <w:rsid w:val="00006AC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06AC4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006AC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06AC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A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6A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Webb</dc:creator>
  <cp:lastModifiedBy>Kathryn Webb</cp:lastModifiedBy>
  <cp:revision>2</cp:revision>
  <dcterms:created xsi:type="dcterms:W3CDTF">2016-08-29T17:43:00Z</dcterms:created>
  <dcterms:modified xsi:type="dcterms:W3CDTF">2016-08-29T17:43:00Z</dcterms:modified>
</cp:coreProperties>
</file>